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Dear Manager,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I am writing to request approval to attend </w:t>
      </w:r>
      <w:r w:rsidDel="00000000" w:rsidR="00000000" w:rsidRPr="00000000">
        <w:rPr>
          <w:rFonts w:ascii="Poppins" w:cs="Poppins" w:eastAsia="Poppins" w:hAnsi="Poppins"/>
          <w:b w:val="1"/>
          <w:sz w:val="21"/>
          <w:szCs w:val="21"/>
          <w:rtl w:val="0"/>
        </w:rPr>
        <w:t xml:space="preserve">Malbek Envision 2025</w:t>
      </w: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, taking place from October 7–10, 2025, at the stunning Boulders Resort &amp; Spa in Scottsdale, Arizona. This premier event is designed to help professionals like me align contract management strategies with business goals, driving measurable results for our organization.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Attending Malbek Envision will provide me with: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Actionable Insights: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Hands-on workshops and inspiring sessions will equip me with strategies to streamline processes in Malbek, improve collaboration, and reduce risk.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Networking Opportunities: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I’ll connect with industry leaders, CLM experts, and peers, fostering relationships that will benefit our team.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Tailored Solutions: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The event will offer practical advice and tools to tackle challenges like [specific company pain point, e.g., contract inefficiencies]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Unique Learning Environment: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Held on a secure and serene 1,300-acre estate, the setting encourages focus and creativity, with no need to leave the property thanks to its all-inclusive amenities.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In-Depth Analysis with a Product Specialist: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I’ll have the opportunity to meet one-on-one with a Malbek product expert for a comprehensive analysis and insights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b w:val="1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b w:val="1"/>
          <w:sz w:val="21"/>
          <w:szCs w:val="21"/>
          <w:rtl w:val="0"/>
        </w:rPr>
        <w:t xml:space="preserve">Investment Details: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Early-bird registration ends May 31, 2025: $399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Hotel Accommodation: $319/night (plus tax and nightly room rate) with Malbek’s discounted rate at the Boulders Resort and Spa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Airfare: Flying into Phoenix, AZ from [your airport]: $___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Travel Costs: The resort is a 40-minute Uber ride to and from PHX</w:t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By attending Envision 2025, I’ll gain actionable strategies to [specific benefit, e.g., "optimize our contract management processes"], which can positively impact our goals. Post-event, I will provide a detailed summary of key takeaways, recommendations, and next steps tailored to our organization’s use of Malbek.</w:t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I am confident this opportunity will deliver immediate and long-term value for our team. Please let me know if you’d like to discuss this further.</w:t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Thank you for considering my request.</w:t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sz w:val="21"/>
          <w:szCs w:val="21"/>
          <w:rtl w:val="0"/>
        </w:rPr>
        <w:t xml:space="preserve">[Your Name]</w:t>
      </w:r>
    </w:p>
    <w:sectPr>
      <w:pgSz w:h="15840" w:w="12240" w:orient="portrait"/>
      <w:pgMar w:bottom="100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74A5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74A5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74A5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74A5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74A5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74A5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74A5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74A5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74A5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74A5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74A5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74A5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74A5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74A5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74A5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74A5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74A5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74A5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74A5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4A5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74A5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74A5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74A5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74A5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74A5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74A5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74A5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4A5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74A5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AwP1BR74EwamR+7gMJjidc4gyg==">CgMxLjA4AHIhMU8xZTBrQkVVRUNwal91dkR0Sll2dXBWMHIyeGlnc1pv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2025-05-02T15:26:00Z</dcterms:created>
  <dc:creator>Lizzy Painter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0x0101008CF961CF59C31542A14A122D003B4137</vt:lpwstr>
  </property>
  <property fmtid="{D5CDD505-2E9C-101B-9397-08002B2CF9AE}" pid="3" name="MediaServiceImageTags">
    <vt:lpwstr/>
  </property>
</Properties>
</file>